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pacing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pacing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uppressAutoHyphens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/>
          <w:spacing w:val="0"/>
          <w:szCs w:val="32"/>
        </w:rPr>
      </w:pPr>
    </w:p>
    <w:p>
      <w:pPr>
        <w:keepNext w:val="0"/>
        <w:keepLines w:val="0"/>
        <w:pageBreakBefore w:val="0"/>
        <w:widowControl/>
        <w:suppressAutoHyphens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napToGrid w:val="0"/>
          <w:spacing w:val="0"/>
          <w:w w:val="90"/>
          <w:sz w:val="44"/>
          <w:szCs w:val="44"/>
        </w:rPr>
      </w:pPr>
      <w:r>
        <w:rPr>
          <w:rFonts w:hint="eastAsia" w:ascii="方正小标宋简体" w:hAnsi="宋体" w:eastAsia="方正小标宋简体"/>
          <w:snapToGrid w:val="0"/>
          <w:spacing w:val="0"/>
          <w:w w:val="90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napToGrid w:val="0"/>
          <w:spacing w:val="0"/>
          <w:w w:val="90"/>
          <w:sz w:val="44"/>
          <w:szCs w:val="44"/>
          <w:lang w:eastAsia="zh-CN"/>
        </w:rPr>
        <w:t>3</w:t>
      </w:r>
      <w:r>
        <w:rPr>
          <w:rFonts w:hint="eastAsia" w:ascii="方正小标宋简体" w:hAnsi="宋体" w:eastAsia="方正小标宋简体"/>
          <w:snapToGrid w:val="0"/>
          <w:spacing w:val="0"/>
          <w:w w:val="90"/>
          <w:sz w:val="44"/>
          <w:szCs w:val="44"/>
        </w:rPr>
        <w:t>年度全面依法治市调研课题重点研究方向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/>
          <w:spacing w:val="0"/>
          <w:szCs w:val="32"/>
        </w:rPr>
      </w:pPr>
    </w:p>
    <w:p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习近平法治思想引领法治上海建设实践研究</w:t>
      </w:r>
    </w:p>
    <w:p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全过程人民民主法治实践研究</w:t>
      </w:r>
    </w:p>
    <w:p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上海法治化营商环境建设研究</w:t>
      </w:r>
    </w:p>
    <w:p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方正黑体_GBK" w:hAnsi="方正黑体_GBK" w:eastAsia="仿宋_GB2312" w:cs="方正黑体_GBK"/>
          <w:spacing w:val="0"/>
          <w:sz w:val="32"/>
          <w:szCs w:val="32"/>
          <w:lang w:eastAsia="zh-CN"/>
        </w:rPr>
      </w:pPr>
      <w:r>
        <w:rPr>
          <w:rFonts w:hint="eastAsia" w:ascii="方正黑体_GBK" w:hAnsi="方正黑体_GBK" w:eastAsia="仿宋_GB2312" w:cs="方正黑体_GBK"/>
          <w:spacing w:val="0"/>
          <w:sz w:val="32"/>
          <w:szCs w:val="32"/>
          <w:lang w:eastAsia="zh-CN"/>
        </w:rPr>
        <w:t>上海数字城市建设法治保障研究</w:t>
      </w:r>
    </w:p>
    <w:p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方正黑体_GBK" w:hAnsi="方正黑体_GBK" w:eastAsia="仿宋_GB2312" w:cs="方正黑体_GBK"/>
          <w:spacing w:val="0"/>
          <w:sz w:val="32"/>
          <w:szCs w:val="32"/>
          <w:lang w:eastAsia="zh-CN"/>
        </w:rPr>
      </w:pPr>
      <w:r>
        <w:rPr>
          <w:rFonts w:hint="eastAsia" w:ascii="方正黑体_GBK" w:hAnsi="方正黑体_GBK" w:eastAsia="仿宋_GB2312" w:cs="方正黑体_GBK"/>
          <w:spacing w:val="0"/>
          <w:sz w:val="32"/>
          <w:szCs w:val="32"/>
          <w:lang w:eastAsia="zh-CN"/>
        </w:rPr>
        <w:t>超大城市治理中的法治保障研究</w:t>
      </w:r>
    </w:p>
    <w:p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上海全面依法治市制度机制研究</w:t>
      </w:r>
    </w:p>
    <w:p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法治化引领保障上海现代化研究</w:t>
      </w:r>
    </w:p>
    <w:p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加强党内法规制度建设研究</w:t>
      </w:r>
    </w:p>
    <w:p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浦东引领区建设法治保障研究</w:t>
      </w:r>
    </w:p>
    <w:p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长三角一体化发展法治保障研究</w:t>
      </w:r>
    </w:p>
    <w:p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科技创新法治保障研究</w:t>
      </w:r>
    </w:p>
    <w:p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重点领域、新兴领域立法研究</w:t>
      </w:r>
    </w:p>
    <w:p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提升行政执法规范性、精准性、可预期性研究</w:t>
      </w:r>
    </w:p>
    <w:p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公益诉讼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制度及实践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司法体制综合配套改革研究</w:t>
      </w:r>
    </w:p>
    <w:p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公共法律服务体系建设研究</w:t>
      </w:r>
    </w:p>
    <w:p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上海建设国际法律服务中心研究</w:t>
      </w:r>
    </w:p>
    <w:p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上海建设涉外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法治人才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高地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研究</w:t>
      </w:r>
    </w:p>
    <w:p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247" w:bottom="1985" w:left="1247" w:header="1276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chapSep="emDash"/>
          <w:cols w:space="720" w:num="1"/>
          <w:docGrid w:linePitch="579" w:charSpace="28703"/>
        </w:sectPr>
      </w:pP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上海红色法治文化研究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adjustRightInd w:val="0"/>
      <w:ind w:left="328" w:leftChars="100" w:right="328" w:rightChars="100"/>
      <w:rPr>
        <w:rStyle w:val="6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</w:t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FA68F"/>
    <w:rsid w:val="568FA68F"/>
    <w:rsid w:val="B9FF25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spacing w:val="4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color w:val="auto"/>
      <w:spacing w:val="0"/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color w:val="auto"/>
      <w:spacing w:val="-5"/>
      <w:kern w:val="32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2023-03-07T23:43:00Z</dcterms:created>
  <dc:creator>user</dc:creator>
  <cp:lastModifiedBy>user</cp:lastModifiedBy>
  <dcterms:modified xsi:type="dcterms:W3CDTF">2023-03-07T15:57:54Z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